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751B8A51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411895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Heart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script library, created to give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teams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24648CD2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These scripts are designed to be used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6A58CC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Call Engagement Queue CTA Playbook</w:t>
        </w:r>
      </w:hyperlink>
      <w:r w:rsidR="006A58CC">
        <w:rPr>
          <w:kern w:val="0"/>
          <w14:ligatures w14:val="none"/>
        </w:rPr>
        <w:t>.</w:t>
      </w:r>
    </w:p>
    <w:p w14:paraId="71C8FC38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1E592AAC" w14:textId="77777777" w:rsidR="00411895" w:rsidRDefault="00411895" w:rsidP="0009191D">
      <w:pPr>
        <w:spacing w:after="0" w:line="240" w:lineRule="auto"/>
      </w:pPr>
      <w:r>
        <w:t>The Heart HRA calculates a participant’s 10-year and 30-year cardiovascular disease (CVD) risk, as well as “Heart Age,” using algorithms from the Framingham Heart Study. Results help guide care teams to recommend:</w:t>
      </w:r>
    </w:p>
    <w:p w14:paraId="64657983" w14:textId="77777777" w:rsidR="00411895" w:rsidRPr="00411895" w:rsidRDefault="00411895" w:rsidP="00411895">
      <w:pPr>
        <w:pStyle w:val="ListParagraph"/>
        <w:numPr>
          <w:ilvl w:val="0"/>
          <w:numId w:val="20"/>
        </w:num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t>Enrollment in chronic-care programs if high risk with existing conditions</w:t>
      </w:r>
    </w:p>
    <w:p w14:paraId="181480F9" w14:textId="77777777" w:rsidR="00411895" w:rsidRPr="00411895" w:rsidRDefault="00411895" w:rsidP="00411895">
      <w:pPr>
        <w:pStyle w:val="ListParagraph"/>
        <w:numPr>
          <w:ilvl w:val="0"/>
          <w:numId w:val="20"/>
        </w:num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t>Cardiovascular screening or primary care follow-up if high or moderate risk</w:t>
      </w:r>
    </w:p>
    <w:p w14:paraId="1A6214CB" w14:textId="77777777" w:rsidR="00411895" w:rsidRPr="00411895" w:rsidRDefault="00411895" w:rsidP="00411895">
      <w:pPr>
        <w:pStyle w:val="ListParagraph"/>
        <w:numPr>
          <w:ilvl w:val="0"/>
          <w:numId w:val="20"/>
        </w:num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t>Early intervention for lifestyle risk factors if low risk</w:t>
      </w:r>
    </w:p>
    <w:p w14:paraId="11FD0802" w14:textId="56834F4B" w:rsidR="0009191D" w:rsidRPr="00411895" w:rsidRDefault="00411895" w:rsidP="00411895">
      <w:pPr>
        <w:pStyle w:val="ListParagraph"/>
        <w:numPr>
          <w:ilvl w:val="0"/>
          <w:numId w:val="20"/>
        </w:num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t>Diagnostic clarification when information is missing or risk is unknown</w:t>
      </w:r>
    </w:p>
    <w:p w14:paraId="57612BBF" w14:textId="77777777" w:rsidR="00411895" w:rsidRDefault="00411895" w:rsidP="00411895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</w:p>
    <w:p w14:paraId="3DCEFF4D" w14:textId="49250D68" w:rsidR="00411895" w:rsidRPr="00411895" w:rsidRDefault="005D6D54" w:rsidP="00411895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5D6D54">
        <w:rPr>
          <w:rFonts w:ascii="Graphik Regular" w:eastAsia="Times New Roman" w:hAnsi="Graphik Regular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28F0D2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6CB71E52" w14:textId="77777777" w:rsidR="00993B69" w:rsidRPr="00993B69" w:rsidRDefault="00993B69" w:rsidP="00993B69">
      <w:pPr>
        <w:pStyle w:val="NormalWeb"/>
        <w:rPr>
          <w:rFonts w:ascii="Graphik Regular" w:hAnsi="Graphik Regular"/>
        </w:rPr>
      </w:pPr>
      <w:r w:rsidRPr="00993B69">
        <w:rPr>
          <w:rFonts w:ascii="Graphik Regular" w:hAnsi="Graphik Regular"/>
        </w:rPr>
        <w:t xml:space="preserve">Before calling, care teams can open the participant’s risk report from the </w:t>
      </w:r>
      <w:r w:rsidRPr="00993B69">
        <w:rPr>
          <w:rStyle w:val="Strong"/>
          <w:rFonts w:ascii="Graphik Regular" w:eastAsiaTheme="majorEastAsia" w:hAnsi="Graphik Regular"/>
        </w:rPr>
        <w:t>Actions</w:t>
      </w:r>
      <w:r w:rsidRPr="00993B69">
        <w:rPr>
          <w:rFonts w:ascii="Graphik Regular" w:hAnsi="Graphik Regular"/>
        </w:rPr>
        <w:t xml:space="preserve"> column of the engagement queue dashboard. This provides context beyond the summary view.</w:t>
      </w:r>
    </w:p>
    <w:p w14:paraId="566AD8FB" w14:textId="77777777" w:rsidR="00993B69" w:rsidRDefault="00993B69" w:rsidP="00993B69">
      <w:pPr>
        <w:pStyle w:val="NormalWeb"/>
        <w:rPr>
          <w:rFonts w:ascii="Graphik Regular" w:hAnsi="Graphik Regular"/>
        </w:rPr>
      </w:pPr>
      <w:r w:rsidRPr="00993B69">
        <w:rPr>
          <w:rFonts w:ascii="Graphik Regular" w:hAnsi="Graphik Regular"/>
        </w:rPr>
        <w:t>Within the report, review:</w:t>
      </w:r>
    </w:p>
    <w:p w14:paraId="466EAD9B" w14:textId="44C49151" w:rsidR="00993B69" w:rsidRDefault="00993B69" w:rsidP="00993B69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993B69">
        <w:rPr>
          <w:rFonts w:ascii="Graphik Regular" w:hAnsi="Graphik Regular"/>
        </w:rPr>
        <w:t>Primary result (for example: high</w:t>
      </w:r>
      <w:r w:rsidR="008D2F9E">
        <w:rPr>
          <w:rFonts w:ascii="Graphik Regular" w:hAnsi="Graphik Regular"/>
        </w:rPr>
        <w:t xml:space="preserve"> </w:t>
      </w:r>
      <w:r w:rsidRPr="00993B69">
        <w:rPr>
          <w:rFonts w:ascii="Graphik Regular" w:hAnsi="Graphik Regular"/>
        </w:rPr>
        <w:t>risk, moderate risk, low risk, increased due to Heart Age, unknown risk</w:t>
      </w:r>
      <w:r w:rsidR="00BA4C2B" w:rsidRPr="00993B69">
        <w:rPr>
          <w:rFonts w:ascii="Graphik Regular" w:hAnsi="Graphik Regular"/>
        </w:rPr>
        <w:t>)</w:t>
      </w:r>
      <w:r w:rsidR="00BA4C2B">
        <w:rPr>
          <w:rFonts w:ascii="Graphik Regular" w:hAnsi="Graphik Regular"/>
        </w:rPr>
        <w:t>, additionally</w:t>
      </w:r>
      <w:r w:rsidR="00C87976">
        <w:rPr>
          <w:rFonts w:ascii="Graphik Regular" w:hAnsi="Graphik Regular"/>
        </w:rPr>
        <w:t xml:space="preserve"> you can see the more detailed risk level within the engagement queue dashboard (such as High Risk – Existing Condition, High Risk – Near Term, High Risk – Long Term, etc.)</w:t>
      </w:r>
    </w:p>
    <w:p w14:paraId="3D2EFF93" w14:textId="77777777" w:rsidR="00993B69" w:rsidRDefault="00993B69" w:rsidP="00993B69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993B69">
        <w:rPr>
          <w:rFonts w:ascii="Graphik Regular" w:hAnsi="Graphik Regular"/>
        </w:rPr>
        <w:t>Calculated Heart Age (younger, equal to, or older than actual age)</w:t>
      </w:r>
    </w:p>
    <w:p w14:paraId="61B1D919" w14:textId="77777777" w:rsidR="00993B69" w:rsidRDefault="00993B69" w:rsidP="00993B69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993B69">
        <w:rPr>
          <w:rFonts w:ascii="Graphik Regular" w:hAnsi="Graphik Regular"/>
        </w:rPr>
        <w:t>Key risk factors (blood pressure, cholesterol, diabetes status, tobacco use, weight, physical activity, sleep)</w:t>
      </w:r>
    </w:p>
    <w:p w14:paraId="21AB8F32" w14:textId="77777777" w:rsidR="00993B69" w:rsidRDefault="00993B69" w:rsidP="00993B69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993B69">
        <w:rPr>
          <w:rFonts w:ascii="Graphik Regular" w:hAnsi="Graphik Regular"/>
        </w:rPr>
        <w:t>Family history of early cardiovascular disease</w:t>
      </w:r>
    </w:p>
    <w:p w14:paraId="505B231B" w14:textId="1202C793" w:rsidR="005D6D54" w:rsidRPr="005D6D54" w:rsidRDefault="005D6D54" w:rsidP="005D6D54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If approved by your legal team, c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5C4F221F" w14:textId="77777777" w:rsidR="00993B69" w:rsidRDefault="00993B69" w:rsidP="00993B69">
      <w:pPr>
        <w:pStyle w:val="NormalWeb"/>
        <w:rPr>
          <w:rFonts w:ascii="Graphik Regular" w:hAnsi="Graphik Regular"/>
        </w:rPr>
      </w:pPr>
      <w:r w:rsidRPr="00993B69">
        <w:rPr>
          <w:rStyle w:val="Strong"/>
          <w:rFonts w:ascii="Graphik Regular" w:eastAsiaTheme="majorEastAsia" w:hAnsi="Graphik Regular"/>
        </w:rPr>
        <w:lastRenderedPageBreak/>
        <w:t>Additional resources</w:t>
      </w:r>
    </w:p>
    <w:p w14:paraId="029C8A20" w14:textId="1D1B5F06" w:rsidR="00993B69" w:rsidRPr="00993B69" w:rsidRDefault="00993B69" w:rsidP="00993B69">
      <w:pPr>
        <w:pStyle w:val="NormalWeb"/>
        <w:numPr>
          <w:ilvl w:val="0"/>
          <w:numId w:val="20"/>
        </w:numPr>
        <w:rPr>
          <w:rFonts w:ascii="Graphik Regular" w:hAnsi="Graphik Regular"/>
          <w:i/>
          <w:iCs/>
        </w:rPr>
      </w:pPr>
      <w:hyperlink r:id="rId8" w:history="1">
        <w:r w:rsidRPr="001E2CA8">
          <w:rPr>
            <w:rStyle w:val="Hyperlink"/>
            <w:rFonts w:ascii="Graphik Regular" w:hAnsi="Graphik Regular"/>
            <w:i/>
            <w:iCs/>
          </w:rPr>
          <w:t>Clinical Review Document – Heart HRA</w:t>
        </w:r>
      </w:hyperlink>
    </w:p>
    <w:p w14:paraId="7C5ACAA3" w14:textId="7EEB24AB" w:rsidR="00993B69" w:rsidRPr="00993B69" w:rsidRDefault="00993B69" w:rsidP="00993B69">
      <w:pPr>
        <w:pStyle w:val="NormalWeb"/>
        <w:numPr>
          <w:ilvl w:val="0"/>
          <w:numId w:val="20"/>
        </w:numPr>
        <w:rPr>
          <w:rFonts w:ascii="Graphik Regular" w:hAnsi="Graphik Regular"/>
          <w:i/>
          <w:iCs/>
        </w:rPr>
      </w:pPr>
      <w:hyperlink r:id="rId9" w:history="1">
        <w:r w:rsidRPr="001E2CA8">
          <w:rPr>
            <w:rStyle w:val="Hyperlink"/>
            <w:rFonts w:ascii="Graphik Regular" w:hAnsi="Graphik Regular"/>
            <w:i/>
            <w:iCs/>
          </w:rPr>
          <w:t>Follow-up Strategy Guide – Heart HRA</w:t>
        </w:r>
      </w:hyperlink>
    </w:p>
    <w:p w14:paraId="0F987B2C" w14:textId="06438563" w:rsidR="00993B69" w:rsidRPr="00993B69" w:rsidRDefault="00993B69" w:rsidP="00993B69">
      <w:pPr>
        <w:pStyle w:val="NormalWeb"/>
        <w:numPr>
          <w:ilvl w:val="0"/>
          <w:numId w:val="20"/>
        </w:numPr>
        <w:rPr>
          <w:rFonts w:ascii="Graphik Regular" w:hAnsi="Graphik Regular"/>
          <w:i/>
          <w:iCs/>
        </w:rPr>
      </w:pPr>
      <w:hyperlink r:id="rId10" w:history="1">
        <w:r w:rsidRPr="001E2CA8">
          <w:rPr>
            <w:rStyle w:val="Hyperlink"/>
            <w:rFonts w:ascii="Graphik Regular" w:hAnsi="Graphik Regular"/>
            <w:i/>
            <w:iCs/>
          </w:rPr>
          <w:t>Sample Heart HRA Report</w:t>
        </w:r>
      </w:hyperlink>
    </w:p>
    <w:p w14:paraId="32EF02FB" w14:textId="3AA61FFE" w:rsidR="00993B69" w:rsidRPr="00993B69" w:rsidRDefault="00993B69" w:rsidP="00993B69">
      <w:pPr>
        <w:pStyle w:val="NormalWeb"/>
        <w:numPr>
          <w:ilvl w:val="0"/>
          <w:numId w:val="20"/>
        </w:numPr>
        <w:rPr>
          <w:rFonts w:ascii="Graphik Regular" w:hAnsi="Graphik Regular"/>
          <w:i/>
          <w:iCs/>
        </w:rPr>
      </w:pPr>
      <w:hyperlink r:id="rId11" w:history="1">
        <w:r w:rsidRPr="001E2CA8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</w:p>
    <w:p w14:paraId="7F833CAC" w14:textId="77777777" w:rsidR="0009191D" w:rsidRPr="0009191D" w:rsidRDefault="005D6D54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5D6D54">
        <w:rPr>
          <w:rFonts w:ascii="Graphik Regular" w:eastAsia="Times New Roman" w:hAnsi="Graphik Regular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3AC76B0A" w14:textId="77777777" w:rsidR="00342738" w:rsidRDefault="00342738" w:rsidP="00342738">
      <w:pPr>
        <w:pStyle w:val="NormalWeb"/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1A4D0D15" w14:textId="77777777" w:rsid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Fonts w:ascii="Graphik Regular" w:hAnsi="Graphik Regular"/>
        </w:rPr>
        <w:t>“Hello, this is [Name] from [Health System]. Thank you for completing the Heart Health Risk Assessment. Who do I have the pleasure of speaking with today?”</w:t>
      </w:r>
    </w:p>
    <w:p w14:paraId="0B10D634" w14:textId="6941BF19" w:rsidR="00342738" w:rsidRP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Fonts w:ascii="Graphik Regular" w:hAnsi="Graphik Regular"/>
        </w:rPr>
        <w:t>Verify identity using date of birth or another approved identifier.</w:t>
      </w:r>
    </w:p>
    <w:p w14:paraId="29845811" w14:textId="77777777" w:rsidR="00342738" w:rsidRDefault="00342738" w:rsidP="00342738">
      <w:pPr>
        <w:pStyle w:val="NormalWeb"/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00F68471" w14:textId="77777777" w:rsid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Fonts w:ascii="Graphik Regular" w:hAnsi="Graphik Regular"/>
        </w:rPr>
        <w:t>“I’d like to review your results with you. Based on your responses, here’s what we found…”</w:t>
      </w:r>
    </w:p>
    <w:p w14:paraId="1FF63147" w14:textId="77D9FE1D" w:rsidR="00342738" w:rsidRP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Fonts w:ascii="Graphik Regular" w:hAnsi="Graphik Regular"/>
        </w:rPr>
        <w:t>Highlight concerning results, lifestyle gaps, or risk factors. Then ask:</w:t>
      </w:r>
      <w:r w:rsidRPr="00342738">
        <w:rPr>
          <w:rFonts w:ascii="Graphik Regular" w:hAnsi="Graphik Regular"/>
        </w:rPr>
        <w:br/>
        <w:t>“Can you tell me how these factors affect your daily life or health goals?”</w:t>
      </w:r>
    </w:p>
    <w:p w14:paraId="1AB87809" w14:textId="77777777" w:rsidR="00342738" w:rsidRDefault="00342738" w:rsidP="00342738">
      <w:pPr>
        <w:pStyle w:val="NormalWeb"/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342738">
        <w:rPr>
          <w:rFonts w:ascii="Graphik Regular" w:hAnsi="Graphik Regular"/>
          <w:sz w:val="28"/>
          <w:szCs w:val="28"/>
        </w:rPr>
        <w:t xml:space="preserve"> (based on risk category)</w:t>
      </w:r>
    </w:p>
    <w:p w14:paraId="0CCF6AB3" w14:textId="77777777" w:rsid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</w:rPr>
        <w:t>High risk – existing condition</w:t>
      </w:r>
      <w:r w:rsidRPr="00342738">
        <w:rPr>
          <w:rFonts w:ascii="Graphik Regular" w:hAnsi="Graphik Regular"/>
        </w:rPr>
        <w:t xml:space="preserve"> (for example: diabetes, heart disease, stroke, PAD) </w:t>
      </w:r>
      <w:r w:rsidRPr="00342738">
        <w:rPr>
          <w:rFonts w:ascii="Arial" w:hAnsi="Arial" w:cs="Arial"/>
        </w:rPr>
        <w:t>→</w:t>
      </w:r>
      <w:r w:rsidRPr="00342738">
        <w:rPr>
          <w:rFonts w:ascii="Graphik Regular" w:hAnsi="Graphik Regular"/>
        </w:rPr>
        <w:t xml:space="preserve"> “Because of your existing condition, your risk is elevated. We recommend you enroll in a chronic-care management program and connect with your doctor as soon as possible. Can I help you with that today?”</w:t>
      </w:r>
    </w:p>
    <w:p w14:paraId="2C791351" w14:textId="77777777" w:rsid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</w:rPr>
        <w:t>High near-term risk</w:t>
      </w:r>
      <w:r w:rsidRPr="00342738">
        <w:rPr>
          <w:rFonts w:ascii="Graphik Regular" w:hAnsi="Graphik Regular"/>
        </w:rPr>
        <w:t xml:space="preserve"> (20%+ 10-year CVD risk) </w:t>
      </w:r>
      <w:r w:rsidRPr="00342738">
        <w:rPr>
          <w:rFonts w:ascii="Arial" w:hAnsi="Arial" w:cs="Arial"/>
        </w:rPr>
        <w:t>→</w:t>
      </w:r>
      <w:r w:rsidRPr="00342738">
        <w:rPr>
          <w:rFonts w:ascii="Graphik Regular" w:hAnsi="Graphik Regular"/>
        </w:rPr>
        <w:t xml:space="preserve"> “Your near-term risk is high. We recommend cardiovascular screening, such as a stress test. Would you like help scheduling with a cardiologist?”</w:t>
      </w:r>
    </w:p>
    <w:p w14:paraId="7DEB46DA" w14:textId="77777777" w:rsid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</w:rPr>
        <w:t>High long-term risk</w:t>
      </w:r>
      <w:r w:rsidRPr="00342738">
        <w:rPr>
          <w:rFonts w:ascii="Graphik Regular" w:hAnsi="Graphik Regular"/>
        </w:rPr>
        <w:t xml:space="preserve"> (40%+ 30-year CVD risk) </w:t>
      </w:r>
      <w:r w:rsidRPr="00342738">
        <w:rPr>
          <w:rFonts w:ascii="Arial" w:hAnsi="Arial" w:cs="Arial"/>
        </w:rPr>
        <w:t>→</w:t>
      </w:r>
      <w:r w:rsidRPr="00342738">
        <w:rPr>
          <w:rFonts w:ascii="Graphik Regular" w:hAnsi="Graphik Regular"/>
        </w:rPr>
        <w:t xml:space="preserve"> “Your long-term risk is elevated. It’s important to connect with a primary care provider soon. Can I help you set that up?”</w:t>
      </w:r>
    </w:p>
    <w:p w14:paraId="57F9921D" w14:textId="77777777" w:rsid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</w:rPr>
        <w:t>Moderate risk</w:t>
      </w:r>
      <w:r w:rsidRPr="00342738">
        <w:rPr>
          <w:rFonts w:ascii="Graphik Regular" w:hAnsi="Graphik Regular"/>
        </w:rPr>
        <w:t xml:space="preserve"> </w:t>
      </w:r>
      <w:r w:rsidRPr="00342738">
        <w:rPr>
          <w:rFonts w:ascii="Arial" w:hAnsi="Arial" w:cs="Arial"/>
        </w:rPr>
        <w:t>→</w:t>
      </w:r>
      <w:r w:rsidRPr="00342738">
        <w:rPr>
          <w:rFonts w:ascii="Graphik Regular" w:hAnsi="Graphik Regular"/>
        </w:rPr>
        <w:t xml:space="preserve"> “You’re at moderate risk. Staying on top of regular primary care visits is important. Would you like help scheduling?”</w:t>
      </w:r>
    </w:p>
    <w:p w14:paraId="2BD9C32C" w14:textId="77777777" w:rsid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</w:rPr>
        <w:t>Increased risk – due to Heart Age</w:t>
      </w:r>
      <w:r w:rsidRPr="00342738">
        <w:rPr>
          <w:rFonts w:ascii="Graphik Regular" w:hAnsi="Graphik Regular"/>
        </w:rPr>
        <w:t xml:space="preserve"> </w:t>
      </w:r>
      <w:r w:rsidRPr="00342738">
        <w:rPr>
          <w:rFonts w:ascii="Arial" w:hAnsi="Arial" w:cs="Arial"/>
        </w:rPr>
        <w:t>→</w:t>
      </w:r>
      <w:r w:rsidRPr="00342738">
        <w:rPr>
          <w:rFonts w:ascii="Graphik Regular" w:hAnsi="Graphik Regular"/>
        </w:rPr>
        <w:t xml:space="preserve"> “Your Heart Age is older than your actual age, which increases your lifetime risk. Talking to your doctor about preventive steps can make a big difference. Can I help you schedule?”</w:t>
      </w:r>
    </w:p>
    <w:p w14:paraId="5AC307F1" w14:textId="77777777" w:rsid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</w:rPr>
        <w:t>Low risk</w:t>
      </w:r>
      <w:r w:rsidRPr="00342738">
        <w:rPr>
          <w:rFonts w:ascii="Graphik Regular" w:hAnsi="Graphik Regular"/>
        </w:rPr>
        <w:t xml:space="preserve"> </w:t>
      </w:r>
      <w:r w:rsidRPr="00342738">
        <w:rPr>
          <w:rFonts w:ascii="Arial" w:hAnsi="Arial" w:cs="Arial"/>
        </w:rPr>
        <w:t>→</w:t>
      </w:r>
      <w:r w:rsidRPr="00342738">
        <w:rPr>
          <w:rFonts w:ascii="Graphik Regular" w:hAnsi="Graphik Regular"/>
        </w:rPr>
        <w:t xml:space="preserve"> “Your results show low risk, which is great. Still, regular check-ups and healthy lifestyle choices are key. Would you like resources on prevention or help scheduling a routine appointment?”</w:t>
      </w:r>
    </w:p>
    <w:p w14:paraId="42CD46F6" w14:textId="7D7A6008" w:rsidR="00342738" w:rsidRP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</w:rPr>
        <w:lastRenderedPageBreak/>
        <w:t>Unknown risk</w:t>
      </w:r>
      <w:r w:rsidRPr="00342738">
        <w:rPr>
          <w:rFonts w:ascii="Graphik Regular" w:hAnsi="Graphik Regular"/>
        </w:rPr>
        <w:t xml:space="preserve"> (for example: missing blood pressure) </w:t>
      </w:r>
      <w:r w:rsidRPr="00342738">
        <w:rPr>
          <w:rFonts w:ascii="Arial" w:hAnsi="Arial" w:cs="Arial"/>
        </w:rPr>
        <w:t>→</w:t>
      </w:r>
      <w:r w:rsidRPr="00342738">
        <w:rPr>
          <w:rFonts w:ascii="Graphik Regular" w:hAnsi="Graphik Regular"/>
        </w:rPr>
        <w:t xml:space="preserve"> “We couldn’t calculate your risk without a blood pressure reading. The best next step is to schedule a check-up and have your blood pressure measured. Can I help arrange that?”</w:t>
      </w:r>
    </w:p>
    <w:p w14:paraId="5427BEC6" w14:textId="77777777" w:rsidR="00342738" w:rsidRDefault="00342738" w:rsidP="00342738">
      <w:pPr>
        <w:pStyle w:val="NormalWeb"/>
        <w:rPr>
          <w:rFonts w:ascii="Graphik Regular" w:hAnsi="Graphik Regular"/>
        </w:rPr>
      </w:pPr>
      <w:r w:rsidRPr="00342738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0C59FEF5" w14:textId="77777777" w:rsid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Fonts w:ascii="Graphik Regular" w:hAnsi="Graphik Regular"/>
        </w:rPr>
        <w:t>Offer to schedule, transfer, or provide resources.</w:t>
      </w:r>
    </w:p>
    <w:p w14:paraId="582820DC" w14:textId="1F4099D3" w:rsidR="00342738" w:rsidRPr="00342738" w:rsidRDefault="00342738" w:rsidP="00342738">
      <w:pPr>
        <w:pStyle w:val="NormalWeb"/>
        <w:numPr>
          <w:ilvl w:val="0"/>
          <w:numId w:val="20"/>
        </w:numPr>
        <w:rPr>
          <w:rFonts w:ascii="Graphik Regular" w:hAnsi="Graphik Regular"/>
        </w:rPr>
      </w:pPr>
      <w:r w:rsidRPr="00342738">
        <w:rPr>
          <w:rFonts w:ascii="Graphik Regular" w:hAnsi="Graphik Regular"/>
        </w:rPr>
        <w:t>“Can I help you book an appointment now?”</w:t>
      </w:r>
    </w:p>
    <w:p w14:paraId="76C901AC" w14:textId="77777777" w:rsidR="0009191D" w:rsidRPr="0009191D" w:rsidRDefault="005D6D54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5D6D54">
        <w:rPr>
          <w:rFonts w:ascii="Graphik Regular" w:eastAsia="Times New Roman" w:hAnsi="Graphik Regular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Disposition —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 xml:space="preserve"> scheduled appointment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voicemail, no answer, scheduled,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callback later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not eligible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, referral sent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ascii="Graphik Regular" w:eastAsia="Times New Roman" w:hAnsi="Graphik Regular" w:cs="Times New Roman"/>
          <w:kern w:val="0"/>
          <w14:ligatures w14:val="none"/>
        </w:rPr>
        <w:t xml:space="preserve"> care team member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5D6D54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5D6D54">
        <w:rPr>
          <w:rFonts w:ascii="Graphik Regular" w:eastAsia="Times New Roman" w:hAnsi="Graphik Regular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F59D47C" w14:textId="2ACFB12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“Hello, this is [Name] from [Health System], calling regarding your recent </w:t>
      </w:r>
      <w:r w:rsidR="00342738">
        <w:rPr>
          <w:rFonts w:ascii="Graphik Regular" w:eastAsia="Times New Roman" w:hAnsi="Graphik Regular" w:cs="Times New Roman"/>
          <w:kern w:val="0"/>
          <w14:ligatures w14:val="none"/>
        </w:rPr>
        <w:t xml:space="preserve">Heart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Health Risk Assessment. We’d like to review your results and discuss next steps for your health. Please call us back at [Phone Number].”</w:t>
      </w:r>
    </w:p>
    <w:p w14:paraId="1299E46B" w14:textId="1A9CFDA8" w:rsidR="008102BF" w:rsidRDefault="005D6D54" w:rsidP="0009191D">
      <w:pPr>
        <w:rPr>
          <w:rFonts w:ascii="Graphik Regular" w:hAnsi="Graphik Regular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5D6D54">
        <w:rPr>
          <w:rFonts w:ascii="Graphik Regular" w:eastAsia="Times New Roman" w:hAnsi="Graphik Regular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Your Client Success Director can help </w:t>
      </w:r>
      <w:r>
        <w:rPr>
          <w:rFonts w:ascii="Graphik Regular" w:eastAsia="Times New Roman" w:hAnsi="Graphik Regular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ascii="Graphik Regular" w:eastAsia="Times New Roman" w:hAnsi="Graphik Regular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>
      <w:pPr>
        <w:rPr>
          <w:rFonts w:ascii="Graphik Regular" w:hAnsi="Graphik Regular"/>
        </w:rPr>
      </w:pPr>
    </w:p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14FE" w14:textId="77777777" w:rsidR="00482CF4" w:rsidRDefault="00482CF4" w:rsidP="00A637C1">
      <w:pPr>
        <w:spacing w:after="0" w:line="240" w:lineRule="auto"/>
      </w:pPr>
      <w:r>
        <w:separator/>
      </w:r>
    </w:p>
  </w:endnote>
  <w:endnote w:type="continuationSeparator" w:id="0">
    <w:p w14:paraId="129EDF2D" w14:textId="77777777" w:rsidR="00482CF4" w:rsidRDefault="00482CF4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E1FF" w14:textId="77777777" w:rsidR="00482CF4" w:rsidRDefault="00482CF4" w:rsidP="00A637C1">
      <w:pPr>
        <w:spacing w:after="0" w:line="240" w:lineRule="auto"/>
      </w:pPr>
      <w:r>
        <w:separator/>
      </w:r>
    </w:p>
  </w:footnote>
  <w:footnote w:type="continuationSeparator" w:id="0">
    <w:p w14:paraId="04661077" w14:textId="77777777" w:rsidR="00482CF4" w:rsidRDefault="00482CF4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3"/>
  </w:num>
  <w:num w:numId="2" w16cid:durableId="227616952">
    <w:abstractNumId w:val="7"/>
  </w:num>
  <w:num w:numId="3" w16cid:durableId="638612694">
    <w:abstractNumId w:val="8"/>
  </w:num>
  <w:num w:numId="4" w16cid:durableId="535436759">
    <w:abstractNumId w:val="18"/>
  </w:num>
  <w:num w:numId="5" w16cid:durableId="2066371010">
    <w:abstractNumId w:val="13"/>
  </w:num>
  <w:num w:numId="6" w16cid:durableId="1858809521">
    <w:abstractNumId w:val="5"/>
  </w:num>
  <w:num w:numId="7" w16cid:durableId="109672217">
    <w:abstractNumId w:val="9"/>
  </w:num>
  <w:num w:numId="8" w16cid:durableId="372924915">
    <w:abstractNumId w:val="4"/>
  </w:num>
  <w:num w:numId="9" w16cid:durableId="1096053683">
    <w:abstractNumId w:val="10"/>
  </w:num>
  <w:num w:numId="10" w16cid:durableId="1089351488">
    <w:abstractNumId w:val="19"/>
  </w:num>
  <w:num w:numId="11" w16cid:durableId="89129990">
    <w:abstractNumId w:val="15"/>
  </w:num>
  <w:num w:numId="12" w16cid:durableId="1333221234">
    <w:abstractNumId w:val="1"/>
  </w:num>
  <w:num w:numId="13" w16cid:durableId="1611737239">
    <w:abstractNumId w:val="0"/>
  </w:num>
  <w:num w:numId="14" w16cid:durableId="913125474">
    <w:abstractNumId w:val="12"/>
  </w:num>
  <w:num w:numId="15" w16cid:durableId="1114985336">
    <w:abstractNumId w:val="6"/>
  </w:num>
  <w:num w:numId="16" w16cid:durableId="1160923059">
    <w:abstractNumId w:val="14"/>
  </w:num>
  <w:num w:numId="17" w16cid:durableId="858205670">
    <w:abstractNumId w:val="16"/>
  </w:num>
  <w:num w:numId="18" w16cid:durableId="1543132264">
    <w:abstractNumId w:val="17"/>
  </w:num>
  <w:num w:numId="19" w16cid:durableId="2026012207">
    <w:abstractNumId w:val="11"/>
  </w:num>
  <w:num w:numId="20" w16cid:durableId="98913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802A9"/>
    <w:rsid w:val="0009191D"/>
    <w:rsid w:val="000C3279"/>
    <w:rsid w:val="00190CC7"/>
    <w:rsid w:val="001E2CA8"/>
    <w:rsid w:val="002905DB"/>
    <w:rsid w:val="00342738"/>
    <w:rsid w:val="003B06AA"/>
    <w:rsid w:val="003F5075"/>
    <w:rsid w:val="00411895"/>
    <w:rsid w:val="004638D2"/>
    <w:rsid w:val="00482CF4"/>
    <w:rsid w:val="00512044"/>
    <w:rsid w:val="00543F2E"/>
    <w:rsid w:val="005A5E82"/>
    <w:rsid w:val="005D6D54"/>
    <w:rsid w:val="0062557A"/>
    <w:rsid w:val="006409A9"/>
    <w:rsid w:val="0066610E"/>
    <w:rsid w:val="006A58CC"/>
    <w:rsid w:val="007602E1"/>
    <w:rsid w:val="00790460"/>
    <w:rsid w:val="008102BF"/>
    <w:rsid w:val="008B39A3"/>
    <w:rsid w:val="008D2F9E"/>
    <w:rsid w:val="00923606"/>
    <w:rsid w:val="00993B69"/>
    <w:rsid w:val="009A035E"/>
    <w:rsid w:val="009A58F0"/>
    <w:rsid w:val="009D48FC"/>
    <w:rsid w:val="00A637C1"/>
    <w:rsid w:val="00BA4C2B"/>
    <w:rsid w:val="00C60B53"/>
    <w:rsid w:val="00C87976"/>
    <w:rsid w:val="00D2210F"/>
    <w:rsid w:val="00D54A2C"/>
    <w:rsid w:val="00E82177"/>
    <w:rsid w:val="00EF34F4"/>
    <w:rsid w:val="00F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F0"/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Heart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Heart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Heart%20HRA%20Follow-up%20Strategy%20Guide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B4109"/>
    <w:rsid w:val="003C4108"/>
    <w:rsid w:val="00512044"/>
    <w:rsid w:val="0066610E"/>
    <w:rsid w:val="007E2C8B"/>
    <w:rsid w:val="009C13C1"/>
    <w:rsid w:val="009D48FC"/>
    <w:rsid w:val="00BE749C"/>
    <w:rsid w:val="00E2378B"/>
    <w:rsid w:val="00E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17</cp:revision>
  <dcterms:created xsi:type="dcterms:W3CDTF">2025-09-17T19:54:00Z</dcterms:created>
  <dcterms:modified xsi:type="dcterms:W3CDTF">2025-11-12T15:04:00Z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